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Guía de Contenido: Trastorno Destructivo del Control de los Impulsos**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**Glosario**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1. **Trastorno Destructivo del Control de los Impulsos (TDCI):** Condición psicológica caracterizada por la incapacidad para resistir impulsos, llevando a comportamientos destructivos y perjudiciales.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**Impulsividad Excesiva:** Tendencia a actuar sin pensar o planificar adecuadamente.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3. **Terapia Cognitivo-Conductual (TCC):** Enfoque terapéutico centrado en identificar y cambiar patrones de pensamiento y comportamiento.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4. **Terapia de Control de Impulsos (TCI):** Terapia dirigida específicamente a abordar impulsos destructivos.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5. **Terapia Dialéctica Conductual (TDC):** Enfoque que combina técnicas de modificación de conducta con estrategias de aceptación.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6. **Psicoeducación:** Proporcionar información detallada sobre el trastorno y estrategias de afrontamiento.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7. **Intervenciones Farmacológicas:** Uso de medicamentos bajo supervisión médica para tratar el trastorno.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8. **Grupos de Apoyo:** Espacios donde individuos comparten experiencias y reciben apoyo emocional.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9. **Entrenamiento en Habilidades Sociales:** Desarrollo de habilidades para mejorar relaciones interpersonales.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10. **Mindfulness y Meditación:** Prácticas que fomentan la conciencia del momento presente.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**Exploración del Trastorno Destructivo del Control de los Impulsos:**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1. **Identificación de Síntomas:**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 - Impulsividad excesiva.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  - Incapacidad para resistir impulsos.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 - Patrones repetitivos de comportamiento destructivo.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- Falta de remordimiento o culpa.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2. **Factores Contribuyentes:**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  - Genética.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- Neurobiología.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 - Factores ambientales.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- Desregulación emocional.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- Factores sociales.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- Modelado de roles.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3. **Impacto en la Conducta:**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  - Relaciones interpersonales.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  - Problemas laborales y académicos.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  - Consecuencias legales.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  - Aislamiento social.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  - Problemas financieros.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  - Deterioro de la salud mental.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  - Ciclo de repetición.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  - Impacto en la autoestima.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4. **Enfoques de Tratamiento:**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  - Terapia Cognitivo-Conductual (TCC).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  - Terapia de Control de Impulsos (TCI).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  - Terapia Dialéctica Conductual (TDC).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  - Psicoeducación.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  - Intervenciones Farmacológicas.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  - Grupos de Apoyo.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  - Entrenamiento en Habilidades Sociales.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  - Mindfulness y Meditación.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**Conclusión:**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Ofrecer esperanza y recursos para aquellos que buscan controlar sus impulsos de manera saludable mediante enfoques terapéuticos integrales y personalizados. La combinación de estrategias terapéuticas y apoyo emocional es esencial para la recuperación efectiva del Trastorno Destructivo del Control de los Impulsos.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Este viaje exhaustivo proporcionará a nuestros lectores una comprensión integral del control de los impulsos y del trastorno destructivo asociado, equipándolos con conocimientos para cultivar la autodisciplina y buscar ayuda si es necesario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